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A9" w:rsidRPr="00137A9E" w:rsidRDefault="0093702E" w:rsidP="007A7977">
      <w:pPr>
        <w:snapToGrid w:val="0"/>
        <w:spacing w:line="300" w:lineRule="auto"/>
        <w:jc w:val="center"/>
        <w:rPr>
          <w:rFonts w:cstheme="minorHAnsi"/>
          <w:b/>
          <w:sz w:val="36"/>
          <w:szCs w:val="36"/>
        </w:rPr>
      </w:pPr>
      <w:r w:rsidRPr="00137A9E">
        <w:rPr>
          <w:rFonts w:cstheme="minorHAnsi"/>
          <w:b/>
          <w:sz w:val="36"/>
          <w:szCs w:val="36"/>
        </w:rPr>
        <w:t>Advanced Course of Therapeutic ERCP</w:t>
      </w:r>
    </w:p>
    <w:p w:rsidR="00BB3508" w:rsidRPr="00137A9E" w:rsidRDefault="00BB3508" w:rsidP="007A7977">
      <w:pPr>
        <w:snapToGrid w:val="0"/>
        <w:spacing w:line="300" w:lineRule="auto"/>
        <w:jc w:val="center"/>
        <w:rPr>
          <w:rFonts w:cstheme="minorHAnsi"/>
          <w:b/>
          <w:sz w:val="16"/>
          <w:szCs w:val="16"/>
        </w:rPr>
      </w:pPr>
    </w:p>
    <w:p w:rsidR="00175D9B" w:rsidRPr="00137A9E" w:rsidRDefault="0093702E" w:rsidP="007A7977">
      <w:pPr>
        <w:snapToGrid w:val="0"/>
        <w:spacing w:line="300" w:lineRule="auto"/>
        <w:rPr>
          <w:rFonts w:cstheme="minorHAnsi"/>
        </w:rPr>
      </w:pPr>
      <w:r w:rsidRPr="00137A9E">
        <w:rPr>
          <w:rFonts w:cstheme="minorHAnsi"/>
        </w:rPr>
        <w:t>上課期限</w:t>
      </w:r>
      <w:r w:rsidR="001418F3" w:rsidRPr="00137A9E">
        <w:rPr>
          <w:rFonts w:eastAsia="新細明體" w:cstheme="minorHAnsi"/>
        </w:rPr>
        <w:t>：</w:t>
      </w:r>
      <w:r w:rsidRPr="00137A9E">
        <w:rPr>
          <w:rFonts w:cstheme="minorHAnsi"/>
        </w:rPr>
        <w:t>半年</w:t>
      </w:r>
      <w:r w:rsidR="00BE0E59" w:rsidRPr="00137A9E">
        <w:rPr>
          <w:rFonts w:eastAsia="新細明體" w:cstheme="minorHAnsi"/>
        </w:rPr>
        <w:t>（</w:t>
      </w:r>
      <w:r w:rsidRPr="00137A9E">
        <w:rPr>
          <w:rFonts w:cstheme="minorHAnsi"/>
        </w:rPr>
        <w:t>W6/W7</w:t>
      </w:r>
      <w:r w:rsidRPr="00137A9E">
        <w:rPr>
          <w:rFonts w:cstheme="minorHAnsi"/>
        </w:rPr>
        <w:t>上課</w:t>
      </w:r>
      <w:r w:rsidR="00BE0E59" w:rsidRPr="00137A9E">
        <w:rPr>
          <w:rFonts w:eastAsia="新細明體" w:cstheme="minorHAnsi"/>
        </w:rPr>
        <w:t>）</w:t>
      </w:r>
      <w:r w:rsidRPr="00137A9E">
        <w:rPr>
          <w:rFonts w:cstheme="minorHAnsi"/>
        </w:rPr>
        <w:t xml:space="preserve">  </w:t>
      </w:r>
    </w:p>
    <w:p w:rsidR="0093702E" w:rsidRPr="00137A9E" w:rsidRDefault="0093702E" w:rsidP="007A7977">
      <w:pPr>
        <w:snapToGrid w:val="0"/>
        <w:spacing w:line="300" w:lineRule="auto"/>
        <w:rPr>
          <w:rFonts w:cstheme="minorHAnsi"/>
        </w:rPr>
      </w:pPr>
      <w:r w:rsidRPr="00137A9E">
        <w:rPr>
          <w:rFonts w:cstheme="minorHAnsi"/>
        </w:rPr>
        <w:t>名額</w:t>
      </w:r>
      <w:r w:rsidR="001418F3" w:rsidRPr="00137A9E">
        <w:rPr>
          <w:rFonts w:eastAsia="新細明體" w:cstheme="minorHAnsi"/>
        </w:rPr>
        <w:t>：</w:t>
      </w:r>
      <w:r w:rsidRPr="00137A9E">
        <w:rPr>
          <w:rFonts w:cstheme="minorHAnsi"/>
        </w:rPr>
        <w:t>40</w:t>
      </w:r>
      <w:r w:rsidRPr="00137A9E">
        <w:rPr>
          <w:rFonts w:cstheme="minorHAnsi"/>
        </w:rPr>
        <w:t>名</w:t>
      </w:r>
      <w:r w:rsidR="00BE0E59" w:rsidRPr="00137A9E">
        <w:rPr>
          <w:rFonts w:eastAsia="新細明體" w:cstheme="minorHAnsi"/>
        </w:rPr>
        <w:t>（</w:t>
      </w:r>
      <w:r w:rsidR="00BE0E59" w:rsidRPr="00137A9E">
        <w:rPr>
          <w:rFonts w:cstheme="minorHAnsi"/>
        </w:rPr>
        <w:t>由本學會教學醫院主任推薦，</w:t>
      </w:r>
      <w:r w:rsidR="00BE0E59" w:rsidRPr="00137A9E">
        <w:rPr>
          <w:rFonts w:cstheme="minorHAnsi"/>
        </w:rPr>
        <w:t>40</w:t>
      </w:r>
      <w:r w:rsidR="00BE0E59" w:rsidRPr="00137A9E">
        <w:rPr>
          <w:rFonts w:cstheme="minorHAnsi"/>
        </w:rPr>
        <w:t>歲以下之</w:t>
      </w:r>
      <w:r w:rsidR="00753287" w:rsidRPr="00137A9E">
        <w:rPr>
          <w:rFonts w:cstheme="minorHAnsi"/>
        </w:rPr>
        <w:t>台灣</w:t>
      </w:r>
      <w:r w:rsidR="00BE0E59" w:rsidRPr="00137A9E">
        <w:rPr>
          <w:rFonts w:cstheme="minorHAnsi"/>
        </w:rPr>
        <w:t>消化系內視鏡醫學會會員）</w:t>
      </w:r>
    </w:p>
    <w:p w:rsidR="0093702E" w:rsidRPr="00137A9E" w:rsidRDefault="0093702E" w:rsidP="007A7977">
      <w:pPr>
        <w:snapToGrid w:val="0"/>
        <w:spacing w:line="300" w:lineRule="auto"/>
        <w:rPr>
          <w:rFonts w:cstheme="minorHAnsi"/>
        </w:rPr>
      </w:pPr>
      <w:r w:rsidRPr="00137A9E">
        <w:rPr>
          <w:rFonts w:cstheme="minorHAnsi"/>
        </w:rPr>
        <w:t>費用</w:t>
      </w:r>
      <w:r w:rsidR="001418F3" w:rsidRPr="00137A9E">
        <w:rPr>
          <w:rFonts w:eastAsia="新細明體" w:cstheme="minorHAnsi"/>
        </w:rPr>
        <w:t>：</w:t>
      </w:r>
      <w:r w:rsidRPr="00137A9E">
        <w:rPr>
          <w:rFonts w:cstheme="minorHAnsi"/>
        </w:rPr>
        <w:t>70000 NTD</w:t>
      </w:r>
    </w:p>
    <w:p w:rsidR="0093702E" w:rsidRPr="00137A9E" w:rsidRDefault="0093702E" w:rsidP="007A7977">
      <w:pPr>
        <w:snapToGrid w:val="0"/>
        <w:spacing w:line="300" w:lineRule="auto"/>
        <w:rPr>
          <w:rFonts w:cstheme="minorHAnsi"/>
        </w:rPr>
      </w:pPr>
      <w:r w:rsidRPr="00137A9E">
        <w:rPr>
          <w:rFonts w:cstheme="minorHAnsi"/>
        </w:rPr>
        <w:t>講師</w:t>
      </w:r>
      <w:r w:rsidR="001418F3" w:rsidRPr="00137A9E">
        <w:rPr>
          <w:rFonts w:eastAsia="新細明體" w:cstheme="minorHAnsi"/>
        </w:rPr>
        <w:t>：</w:t>
      </w:r>
      <w:r w:rsidRPr="00137A9E">
        <w:rPr>
          <w:rFonts w:cstheme="minorHAnsi"/>
        </w:rPr>
        <w:t>國內外專家</w:t>
      </w:r>
    </w:p>
    <w:p w:rsidR="0093702E" w:rsidRPr="00137A9E" w:rsidRDefault="0093702E" w:rsidP="007A7977">
      <w:pPr>
        <w:snapToGrid w:val="0"/>
        <w:spacing w:line="300" w:lineRule="auto"/>
        <w:rPr>
          <w:rFonts w:cstheme="minorHAnsi"/>
        </w:rPr>
      </w:pPr>
      <w:r w:rsidRPr="00137A9E">
        <w:rPr>
          <w:rFonts w:cstheme="minorHAnsi"/>
        </w:rPr>
        <w:t>見習</w:t>
      </w:r>
      <w:r w:rsidR="001418F3" w:rsidRPr="00137A9E">
        <w:rPr>
          <w:rFonts w:eastAsia="新細明體" w:cstheme="minorHAnsi"/>
        </w:rPr>
        <w:t>：</w:t>
      </w:r>
      <w:r w:rsidRPr="00137A9E">
        <w:rPr>
          <w:rFonts w:cstheme="minorHAnsi"/>
        </w:rPr>
        <w:t>醫院</w:t>
      </w:r>
      <w:r w:rsidRPr="00137A9E">
        <w:rPr>
          <w:rFonts w:cstheme="minorHAnsi"/>
        </w:rPr>
        <w:t>TBD</w:t>
      </w:r>
      <w:r w:rsidR="00BE0E59" w:rsidRPr="00137A9E">
        <w:rPr>
          <w:rFonts w:eastAsia="新細明體" w:cstheme="minorHAnsi"/>
        </w:rPr>
        <w:t>（每人各</w:t>
      </w:r>
      <w:r w:rsidR="00BE0E59" w:rsidRPr="00137A9E">
        <w:rPr>
          <w:rFonts w:eastAsia="新細明體" w:cstheme="minorHAnsi"/>
        </w:rPr>
        <w:t>20</w:t>
      </w:r>
      <w:r w:rsidR="00BE0E59" w:rsidRPr="00137A9E">
        <w:rPr>
          <w:rFonts w:eastAsia="新細明體" w:cstheme="minorHAnsi"/>
        </w:rPr>
        <w:t>例）</w:t>
      </w:r>
    </w:p>
    <w:p w:rsidR="005B0005" w:rsidRPr="00137A9E" w:rsidRDefault="00BB3508" w:rsidP="007A7977">
      <w:pPr>
        <w:snapToGrid w:val="0"/>
        <w:spacing w:line="300" w:lineRule="auto"/>
        <w:rPr>
          <w:rFonts w:cstheme="minorHAnsi"/>
        </w:rPr>
      </w:pPr>
      <w:r w:rsidRPr="00137A9E">
        <w:rPr>
          <w:rFonts w:cstheme="minorHAnsi"/>
        </w:rPr>
        <w:t>完成課程者，學會授予證書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67"/>
        <w:gridCol w:w="6072"/>
      </w:tblGrid>
      <w:tr w:rsidR="00175D9B" w:rsidRPr="00137A9E" w:rsidTr="007A7977">
        <w:tc>
          <w:tcPr>
            <w:tcW w:w="3567" w:type="dxa"/>
            <w:tcBorders>
              <w:bottom w:val="single" w:sz="4" w:space="0" w:color="auto"/>
            </w:tcBorders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Topic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Outline</w:t>
            </w:r>
          </w:p>
        </w:tc>
      </w:tr>
      <w:tr w:rsidR="00175D9B" w:rsidRPr="00137A9E" w:rsidTr="007A7977"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175D9B" w:rsidRPr="00137A9E" w:rsidRDefault="00175D9B" w:rsidP="00C718A0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Preparation, indication, contract </w:t>
            </w:r>
            <w:r w:rsidR="00C718A0">
              <w:rPr>
                <w:rFonts w:cstheme="minorHAnsi" w:hint="eastAsia"/>
              </w:rPr>
              <w:t>indication</w:t>
            </w:r>
            <w:bookmarkStart w:id="0" w:name="_GoBack"/>
            <w:bookmarkEnd w:id="0"/>
          </w:p>
        </w:tc>
        <w:tc>
          <w:tcPr>
            <w:tcW w:w="6072" w:type="dxa"/>
            <w:tcBorders>
              <w:bottom w:val="single" w:sz="4" w:space="0" w:color="auto"/>
            </w:tcBorders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</w:t>
            </w:r>
            <w:r w:rsidRPr="00137A9E">
              <w:rPr>
                <w:rFonts w:cstheme="minorHAnsi"/>
                <w:shd w:val="clear" w:color="auto" w:fill="FFFF00"/>
              </w:rPr>
              <w:t>. Equipment and accessory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I-1 Introduction of ERCP accessory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>1. Cannulation catheter</w:t>
            </w:r>
          </w:p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2. </w:t>
            </w:r>
            <w:proofErr w:type="spellStart"/>
            <w:r w:rsidRPr="00137A9E">
              <w:rPr>
                <w:rFonts w:cstheme="minorHAnsi"/>
              </w:rPr>
              <w:t>Guidewire</w:t>
            </w:r>
            <w:proofErr w:type="spellEnd"/>
          </w:p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3. </w:t>
            </w:r>
            <w:proofErr w:type="spellStart"/>
            <w:r w:rsidRPr="00137A9E">
              <w:rPr>
                <w:rFonts w:cstheme="minorHAnsi"/>
              </w:rPr>
              <w:t>Sphincterome</w:t>
            </w:r>
            <w:proofErr w:type="spellEnd"/>
            <w:r w:rsidRPr="00137A9E">
              <w:rPr>
                <w:rFonts w:cstheme="minorHAnsi"/>
              </w:rPr>
              <w:t xml:space="preserve"> and needle knife</w:t>
            </w:r>
          </w:p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>4. Basket</w:t>
            </w:r>
          </w:p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>5. Balloon</w:t>
            </w:r>
          </w:p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>6. Dilation Balloon</w:t>
            </w:r>
          </w:p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>7. Brushing cytology and biliary biopsy</w:t>
            </w:r>
          </w:p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>8. Dilator</w:t>
            </w:r>
          </w:p>
          <w:p w:rsidR="00175D9B" w:rsidRPr="00137A9E" w:rsidRDefault="00175D9B" w:rsidP="007A7977">
            <w:pPr>
              <w:snapToGrid w:val="0"/>
              <w:spacing w:line="288" w:lineRule="auto"/>
              <w:ind w:firstLineChars="50" w:firstLine="120"/>
              <w:rPr>
                <w:rFonts w:cstheme="minorHAnsi"/>
              </w:rPr>
            </w:pPr>
            <w:r w:rsidRPr="00137A9E">
              <w:rPr>
                <w:rFonts w:cstheme="minorHAnsi"/>
              </w:rPr>
              <w:t>9. Plastic stent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10. Metallic stent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I-2 Electrosurgical unit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Function of ESU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Setting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II. Image reading</w:t>
            </w:r>
          </w:p>
        </w:tc>
      </w:tr>
      <w:tr w:rsidR="00175D9B" w:rsidRPr="00137A9E" w:rsidTr="007A7977">
        <w:trPr>
          <w:trHeight w:val="1465"/>
        </w:trPr>
        <w:tc>
          <w:tcPr>
            <w:tcW w:w="3567" w:type="dxa"/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Ampulla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ERC of prone position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ERC of left lateral position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ERP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5. Anomaly of ERC and ERP</w:t>
            </w: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III. Cannulation and difficult cannulation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III-1 Basic cannulation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Cannulation and pattern of ampulla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2. Selection of catheter and  </w:t>
            </w:r>
            <w:proofErr w:type="spellStart"/>
            <w:r w:rsidRPr="00137A9E">
              <w:rPr>
                <w:rFonts w:cstheme="minorHAnsi"/>
              </w:rPr>
              <w:t>papillotome</w:t>
            </w:r>
            <w:proofErr w:type="spellEnd"/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3. </w:t>
            </w:r>
            <w:proofErr w:type="spellStart"/>
            <w:r w:rsidRPr="00137A9E">
              <w:rPr>
                <w:rFonts w:cstheme="minorHAnsi"/>
              </w:rPr>
              <w:t>Guidewire</w:t>
            </w:r>
            <w:proofErr w:type="spellEnd"/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Biliary cannulation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5. Pancreatic cannulation</w:t>
            </w:r>
          </w:p>
          <w:p w:rsidR="00175D9B" w:rsidRPr="00137A9E" w:rsidRDefault="00175D9B" w:rsidP="007A7977">
            <w:pPr>
              <w:snapToGrid w:val="0"/>
              <w:spacing w:line="288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6. Cannulation of Minor papilla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lastRenderedPageBreak/>
              <w:t>III-2 Difficult cannulation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12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Difficult ampulla</w:t>
            </w:r>
          </w:p>
          <w:p w:rsidR="00175D9B" w:rsidRPr="00137A9E" w:rsidRDefault="00175D9B" w:rsidP="007A7977">
            <w:pPr>
              <w:snapToGrid w:val="0"/>
              <w:spacing w:line="312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Pre-cut method</w:t>
            </w:r>
          </w:p>
          <w:p w:rsidR="00175D9B" w:rsidRPr="00137A9E" w:rsidRDefault="00175D9B" w:rsidP="007A7977">
            <w:pPr>
              <w:snapToGrid w:val="0"/>
              <w:spacing w:line="312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Needle knife</w:t>
            </w:r>
          </w:p>
          <w:p w:rsidR="00175D9B" w:rsidRPr="00137A9E" w:rsidRDefault="00175D9B" w:rsidP="007A7977">
            <w:pPr>
              <w:snapToGrid w:val="0"/>
              <w:spacing w:line="312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Pancreatic stenting method</w:t>
            </w:r>
          </w:p>
          <w:p w:rsidR="00175D9B" w:rsidRPr="00137A9E" w:rsidRDefault="00175D9B" w:rsidP="007A7977">
            <w:pPr>
              <w:snapToGrid w:val="0"/>
              <w:spacing w:line="312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5 Two guide-wire method</w:t>
            </w:r>
          </w:p>
          <w:p w:rsidR="00175D9B" w:rsidRPr="00137A9E" w:rsidRDefault="00175D9B" w:rsidP="007A7977">
            <w:pPr>
              <w:snapToGrid w:val="0"/>
              <w:spacing w:line="312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6. Other methods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IV. EST/needle knife and difficult EST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IV-1 Biliary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1. Selection of </w:t>
            </w:r>
            <w:proofErr w:type="spellStart"/>
            <w:r w:rsidRPr="00137A9E">
              <w:rPr>
                <w:rFonts w:cstheme="minorHAnsi"/>
              </w:rPr>
              <w:t>papillotome</w:t>
            </w:r>
            <w:proofErr w:type="spellEnd"/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Basic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Difficult EST/needle knife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EST for alternative surgical anatomy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5. EST for special condition: pace-maker, pregnancy.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pStyle w:val="a4"/>
              <w:numPr>
                <w:ilvl w:val="0"/>
                <w:numId w:val="5"/>
              </w:numPr>
              <w:snapToGrid w:val="0"/>
              <w:spacing w:line="300" w:lineRule="auto"/>
              <w:ind w:left="840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pStyle w:val="a4"/>
              <w:numPr>
                <w:ilvl w:val="0"/>
                <w:numId w:val="5"/>
              </w:numPr>
              <w:snapToGrid w:val="0"/>
              <w:spacing w:line="300" w:lineRule="auto"/>
              <w:ind w:left="840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pStyle w:val="a4"/>
              <w:numPr>
                <w:ilvl w:val="0"/>
                <w:numId w:val="5"/>
              </w:numPr>
              <w:snapToGrid w:val="0"/>
              <w:spacing w:line="300" w:lineRule="auto"/>
              <w:ind w:left="840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pStyle w:val="a4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IV-2 pancreatic and minor papilla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1. Selection of </w:t>
            </w:r>
            <w:proofErr w:type="spellStart"/>
            <w:r w:rsidRPr="00137A9E">
              <w:rPr>
                <w:rFonts w:cstheme="minorHAnsi"/>
              </w:rPr>
              <w:t>papillotome</w:t>
            </w:r>
            <w:proofErr w:type="spellEnd"/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Basic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Difficult EST/needle knife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EST for alternative surgical anatomy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5. EST for special condition: pacemaker, pregnancy</w:t>
            </w:r>
            <w:proofErr w:type="gramStart"/>
            <w:r w:rsidRPr="00137A9E">
              <w:rPr>
                <w:rFonts w:cstheme="minorHAnsi"/>
              </w:rPr>
              <w:t>..</w:t>
            </w:r>
            <w:proofErr w:type="gramEnd"/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V. EPBD/EPLBD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 w:val="restart"/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Basic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Selection of balloon size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Indication and contra-indication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Complication and management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VI. Biliary lithotripsy and mechanical lithotripsy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Selection of types of baskets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Mechanical lithotripsy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Complications and management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VII. Pancreatic lithotripsy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Basic concept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Balloon/basket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Rescue method: stenting? ESWL?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VIII. Biliary plastic stenting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VIII-1 Stenting for malignancy 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1. Basic concept 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Selection of stent: size, type, length, number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lastRenderedPageBreak/>
              <w:t>VIII-2 Stenting for benign stricture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Basic concept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Selection of stent: size, type, length, number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ind w:left="566" w:hangingChars="236" w:hanging="566"/>
              <w:rPr>
                <w:rFonts w:cstheme="minorHAnsi"/>
              </w:rPr>
            </w:pPr>
            <w:r w:rsidRPr="00137A9E">
              <w:rPr>
                <w:rFonts w:cstheme="minorHAnsi"/>
              </w:rPr>
              <w:t>VIII-3 Management of migration and other complication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Management of internal migration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Management of distal migration</w:t>
            </w:r>
          </w:p>
          <w:p w:rsidR="00175D9B" w:rsidRPr="00137A9E" w:rsidRDefault="00175D9B" w:rsidP="007A7977">
            <w:pPr>
              <w:snapToGrid w:val="0"/>
              <w:spacing w:line="300" w:lineRule="auto"/>
              <w:ind w:left="240" w:hangingChars="100" w:hanging="240"/>
              <w:rPr>
                <w:rFonts w:cstheme="minorHAnsi"/>
              </w:rPr>
            </w:pPr>
            <w:r w:rsidRPr="00137A9E">
              <w:rPr>
                <w:rFonts w:cstheme="minorHAnsi"/>
              </w:rPr>
              <w:t>3. Management of bleeding/ulcer/perforation due to stents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ind w:left="240" w:hangingChars="100" w:hanging="240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ind w:left="240" w:hangingChars="100" w:hanging="240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IX. Biliary metallic stenting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</w:t>
            </w:r>
            <w:r w:rsidRPr="00137A9E">
              <w:rPr>
                <w:rFonts w:cstheme="minorHAnsi"/>
                <w:szCs w:val="24"/>
              </w:rPr>
              <w:t>X-1 How to choose metallic stent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Structures of stents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Radial &amp; axial force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Type for different locations &amp; nature of stenosis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Other considerations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IX-2 Tips of metallic stenting</w:t>
            </w:r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IX-3 </w:t>
            </w:r>
            <w:proofErr w:type="spellStart"/>
            <w:r w:rsidRPr="00137A9E">
              <w:rPr>
                <w:rFonts w:cstheme="minorHAnsi"/>
                <w:szCs w:val="24"/>
              </w:rPr>
              <w:t>Hilar</w:t>
            </w:r>
            <w:proofErr w:type="spellEnd"/>
            <w:r w:rsidRPr="00137A9E">
              <w:rPr>
                <w:rFonts w:cstheme="minorHAnsi"/>
                <w:szCs w:val="24"/>
              </w:rPr>
              <w:t xml:space="preserve"> </w:t>
            </w:r>
            <w:proofErr w:type="spellStart"/>
            <w:r w:rsidRPr="00137A9E">
              <w:rPr>
                <w:rFonts w:cstheme="minorHAnsi"/>
                <w:szCs w:val="24"/>
              </w:rPr>
              <w:t>stening</w:t>
            </w:r>
            <w:proofErr w:type="spellEnd"/>
            <w:r w:rsidRPr="00137A9E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How to choose stent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Benign and malignancy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Stent in stent</w:t>
            </w:r>
          </w:p>
          <w:p w:rsidR="00175D9B" w:rsidRPr="00137A9E" w:rsidRDefault="00175D9B" w:rsidP="007A7977">
            <w:pPr>
              <w:tabs>
                <w:tab w:val="left" w:pos="727"/>
              </w:tabs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Stent by stent</w:t>
            </w:r>
            <w:r w:rsidRPr="00137A9E">
              <w:rPr>
                <w:rFonts w:cstheme="minorHAnsi"/>
              </w:rPr>
              <w:tab/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tabs>
                <w:tab w:val="left" w:pos="727"/>
              </w:tabs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tabs>
                <w:tab w:val="left" w:pos="727"/>
              </w:tabs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tabs>
                <w:tab w:val="left" w:pos="727"/>
              </w:tabs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IX-4 </w:t>
            </w:r>
            <w:r w:rsidRPr="00137A9E">
              <w:rPr>
                <w:rFonts w:cstheme="minorHAnsi"/>
                <w:szCs w:val="24"/>
              </w:rPr>
              <w:t>Intrahepatic metallic stenting (benign &amp; malignant)</w:t>
            </w:r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How to choose stent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 (selective cannulation)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Benign and malignancy</w:t>
            </w: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X. Pancreatic stenting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 w:val="restart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Indication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Concept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Selection of stents: type, length, size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5. Management of internal migration</w:t>
            </w: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rPr>
          <w:trHeight w:val="366"/>
        </w:trPr>
        <w:tc>
          <w:tcPr>
            <w:tcW w:w="3567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vMerge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tabs>
                <w:tab w:val="left" w:pos="4320"/>
              </w:tabs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XI. </w:t>
            </w:r>
            <w:proofErr w:type="spellStart"/>
            <w:r w:rsidRPr="00137A9E">
              <w:rPr>
                <w:rFonts w:cstheme="minorHAnsi"/>
              </w:rPr>
              <w:t>Cholangioscopy</w:t>
            </w:r>
            <w:proofErr w:type="spellEnd"/>
            <w:r w:rsidRPr="00137A9E">
              <w:rPr>
                <w:rFonts w:cstheme="minorHAnsi"/>
              </w:rPr>
              <w:t xml:space="preserve"> and </w:t>
            </w:r>
            <w:proofErr w:type="spellStart"/>
            <w:r w:rsidRPr="00137A9E">
              <w:rPr>
                <w:rFonts w:cstheme="minorHAnsi"/>
              </w:rPr>
              <w:t>pancreatoscopy</w:t>
            </w:r>
            <w:proofErr w:type="spellEnd"/>
            <w:r w:rsidRPr="00137A9E">
              <w:rPr>
                <w:rFonts w:cstheme="minorHAnsi"/>
              </w:rPr>
              <w:tab/>
            </w: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XI-1 Baby-mother </w:t>
            </w:r>
            <w:proofErr w:type="spellStart"/>
            <w:r w:rsidRPr="00137A9E">
              <w:rPr>
                <w:rFonts w:cstheme="minorHAnsi"/>
              </w:rPr>
              <w:t>scopy</w:t>
            </w:r>
            <w:proofErr w:type="spellEnd"/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Equipment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Image and tissue sampling</w:t>
            </w: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XI-2 </w:t>
            </w:r>
            <w:proofErr w:type="spellStart"/>
            <w:r w:rsidRPr="00137A9E">
              <w:rPr>
                <w:rFonts w:cstheme="minorHAnsi"/>
              </w:rPr>
              <w:t>Peroral</w:t>
            </w:r>
            <w:proofErr w:type="spellEnd"/>
            <w:r w:rsidRPr="00137A9E">
              <w:rPr>
                <w:rFonts w:cstheme="minorHAnsi"/>
              </w:rPr>
              <w:t xml:space="preserve"> </w:t>
            </w:r>
            <w:proofErr w:type="spellStart"/>
            <w:r w:rsidRPr="00137A9E">
              <w:rPr>
                <w:rFonts w:cstheme="minorHAnsi"/>
              </w:rPr>
              <w:t>cholangioscopy</w:t>
            </w:r>
            <w:proofErr w:type="spellEnd"/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Equipment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Image and tissue sampling</w:t>
            </w: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XI-3 Spyglass</w:t>
            </w:r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Equipment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Image and tissue sampling</w:t>
            </w: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XI-4 EHL and laser lithotripsy</w:t>
            </w:r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Equipment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</w:t>
            </w: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lastRenderedPageBreak/>
              <w:t>XII. ERCP for alternative surgical anatomy</w:t>
            </w: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 xml:space="preserve">XII-1 </w:t>
            </w:r>
            <w:proofErr w:type="spellStart"/>
            <w:r w:rsidRPr="00137A9E">
              <w:rPr>
                <w:rFonts w:cstheme="minorHAnsi"/>
              </w:rPr>
              <w:t>Billroth</w:t>
            </w:r>
            <w:proofErr w:type="spellEnd"/>
            <w:r w:rsidRPr="00137A9E">
              <w:rPr>
                <w:rFonts w:cstheme="minorHAnsi"/>
              </w:rPr>
              <w:t xml:space="preserve"> II</w:t>
            </w:r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Equipment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</w:t>
            </w:r>
          </w:p>
        </w:tc>
      </w:tr>
      <w:tr w:rsidR="00175D9B" w:rsidRPr="00137A9E" w:rsidTr="007A7977">
        <w:tc>
          <w:tcPr>
            <w:tcW w:w="3567" w:type="dxa"/>
            <w:tcBorders>
              <w:bottom w:val="single" w:sz="4" w:space="0" w:color="auto"/>
            </w:tcBorders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XII-2 Roux-</w:t>
            </w:r>
            <w:proofErr w:type="spellStart"/>
            <w:r w:rsidRPr="00137A9E">
              <w:rPr>
                <w:rFonts w:cstheme="minorHAnsi"/>
              </w:rPr>
              <w:t>en</w:t>
            </w:r>
            <w:proofErr w:type="spellEnd"/>
            <w:r w:rsidRPr="00137A9E">
              <w:rPr>
                <w:rFonts w:cstheme="minorHAnsi"/>
              </w:rPr>
              <w:t>-Y anastomosis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Equipment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Technique</w:t>
            </w: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  <w:highlight w:val="yellow"/>
              </w:rPr>
            </w:pPr>
            <w:r w:rsidRPr="00137A9E">
              <w:rPr>
                <w:rFonts w:cstheme="minorHAnsi"/>
                <w:highlight w:val="yellow"/>
              </w:rPr>
              <w:t xml:space="preserve">XIII. Endoscopic </w:t>
            </w:r>
            <w:proofErr w:type="spellStart"/>
            <w:r w:rsidRPr="00137A9E">
              <w:rPr>
                <w:rFonts w:cstheme="minorHAnsi"/>
                <w:highlight w:val="yellow"/>
              </w:rPr>
              <w:t>ampullectomy</w:t>
            </w:r>
            <w:proofErr w:type="spellEnd"/>
          </w:p>
        </w:tc>
      </w:tr>
      <w:tr w:rsidR="00175D9B" w:rsidRPr="00137A9E" w:rsidTr="007A7977">
        <w:tc>
          <w:tcPr>
            <w:tcW w:w="3567" w:type="dxa"/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  <w:tc>
          <w:tcPr>
            <w:tcW w:w="6072" w:type="dxa"/>
            <w:shd w:val="clear" w:color="auto" w:fill="auto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1. Pre-procedure evaluation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2. Indication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3. Equipment</w:t>
            </w:r>
          </w:p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4. Technique</w:t>
            </w: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X</w:t>
            </w:r>
            <w:r w:rsidRPr="00137A9E">
              <w:rPr>
                <w:rFonts w:eastAsia="細明體" w:cstheme="minorHAnsi"/>
              </w:rPr>
              <w:t>IV.</w:t>
            </w:r>
            <w:r w:rsidRPr="00137A9E">
              <w:rPr>
                <w:rFonts w:cstheme="minorHAnsi"/>
              </w:rPr>
              <w:t xml:space="preserve"> Complication – prevention, detection and management</w:t>
            </w: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X</w:t>
            </w:r>
            <w:r w:rsidRPr="00137A9E">
              <w:rPr>
                <w:rFonts w:eastAsia="細明體" w:cstheme="minorHAnsi"/>
              </w:rPr>
              <w:t>IV</w:t>
            </w:r>
            <w:r w:rsidRPr="00137A9E">
              <w:rPr>
                <w:rFonts w:cstheme="minorHAnsi"/>
              </w:rPr>
              <w:t xml:space="preserve"> -1 Post-ERCP Pancreatitis</w:t>
            </w:r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ind w:left="614" w:hangingChars="256" w:hanging="614"/>
              <w:rPr>
                <w:rFonts w:cstheme="minorHAnsi"/>
              </w:rPr>
            </w:pPr>
            <w:r w:rsidRPr="00137A9E">
              <w:rPr>
                <w:rFonts w:cstheme="minorHAnsi"/>
              </w:rPr>
              <w:t>X</w:t>
            </w:r>
            <w:r w:rsidRPr="00137A9E">
              <w:rPr>
                <w:rFonts w:eastAsia="細明體" w:cstheme="minorHAnsi"/>
              </w:rPr>
              <w:t>IV</w:t>
            </w:r>
            <w:r w:rsidRPr="00137A9E">
              <w:rPr>
                <w:rFonts w:cstheme="minorHAnsi"/>
              </w:rPr>
              <w:t xml:space="preserve"> -2 perforation and bleeding due to ERCP procedure</w:t>
            </w:r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3567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X</w:t>
            </w:r>
            <w:r w:rsidRPr="00137A9E">
              <w:rPr>
                <w:rFonts w:eastAsia="細明體" w:cstheme="minorHAnsi"/>
              </w:rPr>
              <w:t>IV</w:t>
            </w:r>
            <w:r w:rsidRPr="00137A9E">
              <w:rPr>
                <w:rFonts w:cstheme="minorHAnsi"/>
              </w:rPr>
              <w:t xml:space="preserve"> -3 Post-ERCP cholangitis</w:t>
            </w:r>
          </w:p>
        </w:tc>
        <w:tc>
          <w:tcPr>
            <w:tcW w:w="6072" w:type="dxa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</w:p>
        </w:tc>
      </w:tr>
      <w:tr w:rsidR="00175D9B" w:rsidRPr="00137A9E" w:rsidTr="007A7977">
        <w:tc>
          <w:tcPr>
            <w:tcW w:w="9639" w:type="dxa"/>
            <w:gridSpan w:val="2"/>
            <w:shd w:val="clear" w:color="auto" w:fill="FFFF00"/>
          </w:tcPr>
          <w:p w:rsidR="00175D9B" w:rsidRPr="00137A9E" w:rsidRDefault="00175D9B" w:rsidP="007A7977">
            <w:pPr>
              <w:snapToGrid w:val="0"/>
              <w:spacing w:line="300" w:lineRule="auto"/>
              <w:rPr>
                <w:rFonts w:cstheme="minorHAnsi"/>
              </w:rPr>
            </w:pPr>
            <w:r w:rsidRPr="00137A9E">
              <w:rPr>
                <w:rFonts w:cstheme="minorHAnsi"/>
              </w:rPr>
              <w:t>X</w:t>
            </w:r>
            <w:r w:rsidRPr="00137A9E">
              <w:rPr>
                <w:rFonts w:eastAsia="細明體" w:cstheme="minorHAnsi"/>
              </w:rPr>
              <w:t>V</w:t>
            </w:r>
            <w:r w:rsidRPr="00137A9E">
              <w:rPr>
                <w:rFonts w:cstheme="minorHAnsi"/>
              </w:rPr>
              <w:t>. Management of pancreatic duct disruption</w:t>
            </w:r>
          </w:p>
        </w:tc>
      </w:tr>
    </w:tbl>
    <w:p w:rsidR="001418F3" w:rsidRPr="00137A9E" w:rsidRDefault="001418F3" w:rsidP="007A7977">
      <w:pPr>
        <w:snapToGrid w:val="0"/>
        <w:spacing w:line="300" w:lineRule="auto"/>
        <w:rPr>
          <w:rFonts w:cstheme="minorHAnsi"/>
        </w:rPr>
      </w:pPr>
    </w:p>
    <w:p w:rsidR="001418F3" w:rsidRPr="00137A9E" w:rsidRDefault="001418F3" w:rsidP="007A7977">
      <w:pPr>
        <w:snapToGrid w:val="0"/>
        <w:spacing w:line="300" w:lineRule="auto"/>
        <w:rPr>
          <w:rFonts w:cstheme="minorHAnsi"/>
        </w:rPr>
      </w:pPr>
    </w:p>
    <w:sectPr w:rsidR="001418F3" w:rsidRPr="00137A9E" w:rsidSect="00175D9B">
      <w:pgSz w:w="11906" w:h="16838"/>
      <w:pgMar w:top="1440" w:right="119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38" w:rsidRDefault="005B5438" w:rsidP="00D30EA6">
      <w:r>
        <w:separator/>
      </w:r>
    </w:p>
  </w:endnote>
  <w:endnote w:type="continuationSeparator" w:id="0">
    <w:p w:rsidR="005B5438" w:rsidRDefault="005B5438" w:rsidP="00D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38" w:rsidRDefault="005B5438" w:rsidP="00D30EA6">
      <w:r>
        <w:separator/>
      </w:r>
    </w:p>
  </w:footnote>
  <w:footnote w:type="continuationSeparator" w:id="0">
    <w:p w:rsidR="005B5438" w:rsidRDefault="005B5438" w:rsidP="00D3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1018"/>
    <w:multiLevelType w:val="hybridMultilevel"/>
    <w:tmpl w:val="A1C459D2"/>
    <w:lvl w:ilvl="0" w:tplc="F4367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6572E9"/>
    <w:multiLevelType w:val="hybridMultilevel"/>
    <w:tmpl w:val="400216BE"/>
    <w:lvl w:ilvl="0" w:tplc="B1408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DA6C54"/>
    <w:multiLevelType w:val="hybridMultilevel"/>
    <w:tmpl w:val="A770020C"/>
    <w:lvl w:ilvl="0" w:tplc="5E681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F41F82"/>
    <w:multiLevelType w:val="hybridMultilevel"/>
    <w:tmpl w:val="1FDA3C8A"/>
    <w:lvl w:ilvl="0" w:tplc="A1908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0C067C"/>
    <w:multiLevelType w:val="hybridMultilevel"/>
    <w:tmpl w:val="173813B0"/>
    <w:lvl w:ilvl="0" w:tplc="09AA2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474F51"/>
    <w:multiLevelType w:val="hybridMultilevel"/>
    <w:tmpl w:val="3926DC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70762644"/>
    <w:multiLevelType w:val="hybridMultilevel"/>
    <w:tmpl w:val="6B78437C"/>
    <w:lvl w:ilvl="0" w:tplc="24B4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624616"/>
    <w:multiLevelType w:val="hybridMultilevel"/>
    <w:tmpl w:val="C0F4DA2C"/>
    <w:lvl w:ilvl="0" w:tplc="AFFCF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E"/>
    <w:rsid w:val="000A6F42"/>
    <w:rsid w:val="000C0DDD"/>
    <w:rsid w:val="001238BE"/>
    <w:rsid w:val="00137A9E"/>
    <w:rsid w:val="001418F3"/>
    <w:rsid w:val="00175D9B"/>
    <w:rsid w:val="001E7178"/>
    <w:rsid w:val="0031061B"/>
    <w:rsid w:val="00310655"/>
    <w:rsid w:val="003E7ACB"/>
    <w:rsid w:val="00434863"/>
    <w:rsid w:val="0044671D"/>
    <w:rsid w:val="004858F0"/>
    <w:rsid w:val="004A5D37"/>
    <w:rsid w:val="0056438A"/>
    <w:rsid w:val="005B0005"/>
    <w:rsid w:val="005B5438"/>
    <w:rsid w:val="00640FD1"/>
    <w:rsid w:val="00647A96"/>
    <w:rsid w:val="00684FC8"/>
    <w:rsid w:val="006A5E48"/>
    <w:rsid w:val="006D516B"/>
    <w:rsid w:val="006D7BDE"/>
    <w:rsid w:val="00722D75"/>
    <w:rsid w:val="00727A21"/>
    <w:rsid w:val="00752B1F"/>
    <w:rsid w:val="00753287"/>
    <w:rsid w:val="00771CAA"/>
    <w:rsid w:val="0077513D"/>
    <w:rsid w:val="007A7977"/>
    <w:rsid w:val="00810C0C"/>
    <w:rsid w:val="008A2D7E"/>
    <w:rsid w:val="0093702E"/>
    <w:rsid w:val="009D0196"/>
    <w:rsid w:val="00A335F1"/>
    <w:rsid w:val="00AE2D7A"/>
    <w:rsid w:val="00B954A4"/>
    <w:rsid w:val="00BB3508"/>
    <w:rsid w:val="00BE0E59"/>
    <w:rsid w:val="00C116B5"/>
    <w:rsid w:val="00C63CA9"/>
    <w:rsid w:val="00C718A0"/>
    <w:rsid w:val="00CD4FBD"/>
    <w:rsid w:val="00D30EA6"/>
    <w:rsid w:val="00D66BD8"/>
    <w:rsid w:val="00D77B16"/>
    <w:rsid w:val="00DD3157"/>
    <w:rsid w:val="00E95528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0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0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0E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0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0E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0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0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0E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0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0E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8289-471F-45F9-AF16-38334CD0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</dc:creator>
  <cp:lastModifiedBy>PC</cp:lastModifiedBy>
  <cp:revision>4</cp:revision>
  <dcterms:created xsi:type="dcterms:W3CDTF">2014-09-23T02:14:00Z</dcterms:created>
  <dcterms:modified xsi:type="dcterms:W3CDTF">2014-09-25T09:23:00Z</dcterms:modified>
</cp:coreProperties>
</file>